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manOldStyle-Bold"/>
          <w:b/>
          <w:bCs/>
          <w:color w:val="000000" w:themeColor="text1"/>
          <w:sz w:val="24"/>
          <w:szCs w:val="24"/>
        </w:rPr>
      </w:pPr>
      <w:r w:rsidRPr="00C95EBC">
        <w:rPr>
          <w:rFonts w:ascii="Book Antiqua" w:hAnsi="Book Antiqua" w:cs="BookmanOldStyle-Bold"/>
          <w:b/>
          <w:bCs/>
          <w:color w:val="000000" w:themeColor="text1"/>
          <w:sz w:val="24"/>
          <w:szCs w:val="24"/>
        </w:rPr>
        <w:t>TÁJÉKOZTATÓ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manOldStyle-Italic"/>
          <w:i/>
          <w:iCs/>
          <w:color w:val="000000" w:themeColor="text1"/>
          <w:sz w:val="24"/>
          <w:szCs w:val="24"/>
        </w:rPr>
      </w:pPr>
      <w:proofErr w:type="gramStart"/>
      <w:r w:rsidRPr="00C95EBC">
        <w:rPr>
          <w:rFonts w:ascii="Book Antiqua" w:hAnsi="Book Antiqua" w:cs="BookmanOldStyle-Italic"/>
          <w:i/>
          <w:iCs/>
          <w:color w:val="000000" w:themeColor="text1"/>
          <w:sz w:val="24"/>
          <w:szCs w:val="24"/>
        </w:rPr>
        <w:t>a</w:t>
      </w:r>
      <w:proofErr w:type="gramEnd"/>
      <w:r w:rsidRPr="00C95EBC">
        <w:rPr>
          <w:rFonts w:ascii="Book Antiqua" w:hAnsi="Book Antiqua" w:cs="BookmanOldStyle-Italic"/>
          <w:i/>
          <w:iCs/>
          <w:color w:val="000000" w:themeColor="text1"/>
          <w:sz w:val="24"/>
          <w:szCs w:val="24"/>
        </w:rPr>
        <w:t xml:space="preserve"> Polgári Törvénykönyvről szóló 2013. évi V. törvényben (Ptk.) szabályozott,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manOldStyle-Italic"/>
          <w:i/>
          <w:iCs/>
          <w:color w:val="000000" w:themeColor="text1"/>
          <w:sz w:val="24"/>
          <w:szCs w:val="24"/>
        </w:rPr>
      </w:pPr>
      <w:proofErr w:type="gramStart"/>
      <w:r w:rsidRPr="00C95EBC">
        <w:rPr>
          <w:rFonts w:ascii="Book Antiqua" w:hAnsi="Book Antiqua" w:cs="BookmanOldStyle-Italic"/>
          <w:i/>
          <w:iCs/>
          <w:color w:val="000000" w:themeColor="text1"/>
          <w:sz w:val="24"/>
          <w:szCs w:val="24"/>
        </w:rPr>
        <w:t>jegyzői</w:t>
      </w:r>
      <w:proofErr w:type="gramEnd"/>
      <w:r w:rsidRPr="00C95EBC">
        <w:rPr>
          <w:rFonts w:ascii="Book Antiqua" w:hAnsi="Book Antiqua" w:cs="BookmanOldStyle-Italic"/>
          <w:i/>
          <w:iCs/>
          <w:color w:val="000000" w:themeColor="text1"/>
          <w:sz w:val="24"/>
          <w:szCs w:val="24"/>
        </w:rPr>
        <w:t xml:space="preserve"> hatáskörbe tartozó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manOldStyle-Bold"/>
          <w:b/>
          <w:bCs/>
          <w:color w:val="000000" w:themeColor="text1"/>
          <w:sz w:val="24"/>
          <w:szCs w:val="24"/>
        </w:rPr>
      </w:pPr>
      <w:r w:rsidRPr="00C95EBC">
        <w:rPr>
          <w:rFonts w:ascii="Book Antiqua" w:hAnsi="Book Antiqua" w:cs="BookmanOldStyle-Bold"/>
          <w:b/>
          <w:bCs/>
          <w:color w:val="000000" w:themeColor="text1"/>
          <w:sz w:val="24"/>
          <w:szCs w:val="24"/>
        </w:rPr>
        <w:t>BIRTOKVÉDELMI ELJÁRÁSRÓL.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manOldStyle-Bold"/>
          <w:b/>
          <w:bCs/>
          <w:color w:val="C1C1C1"/>
          <w:sz w:val="24"/>
          <w:szCs w:val="24"/>
        </w:rPr>
      </w:pPr>
    </w:p>
    <w:p w:rsid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Bold"/>
          <w:b/>
          <w:bCs/>
          <w:color w:val="000000"/>
          <w:sz w:val="24"/>
          <w:szCs w:val="24"/>
        </w:rPr>
      </w:pP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>A Ptk. a birtokvédelmi eljárást az alábbi szakaszokban szabályozza: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Bold"/>
          <w:b/>
          <w:bCs/>
          <w:color w:val="000000"/>
          <w:sz w:val="24"/>
          <w:szCs w:val="24"/>
        </w:rPr>
      </w:pP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r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>5:</w:t>
      </w:r>
      <w:proofErr w:type="spellStart"/>
      <w:r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>5</w:t>
      </w:r>
      <w:proofErr w:type="spellEnd"/>
      <w:r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 xml:space="preserve">. § </w:t>
      </w:r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(1) A birtokost birtokvédelem illeti meg, ha birtokától jogalap nélkül megfosztják vagy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proofErr w:type="gramStart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birtoklásában</w:t>
      </w:r>
      <w:proofErr w:type="gramEnd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 xml:space="preserve"> jogalap nélkül háborítják (a továbbiakban: tilos önhatalom).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 xml:space="preserve">(2) A birtokost a birtokvédelem mindenkivel szemben megilleti, annak kivételével, akitől </w:t>
      </w:r>
      <w:proofErr w:type="gramStart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a</w:t>
      </w:r>
      <w:proofErr w:type="gramEnd"/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proofErr w:type="gramStart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birtokot</w:t>
      </w:r>
      <w:proofErr w:type="gramEnd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 xml:space="preserve"> tilos önhatalommal szerezte meg.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r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 xml:space="preserve">5:7. § </w:t>
      </w:r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 xml:space="preserve">[(1) Tilos önhatalom esetén a birtokos az eredeti birtokállapot helyreállítását vagy </w:t>
      </w:r>
      <w:proofErr w:type="gramStart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a</w:t>
      </w:r>
      <w:proofErr w:type="gramEnd"/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proofErr w:type="gramStart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zavarás</w:t>
      </w:r>
      <w:proofErr w:type="gramEnd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 xml:space="preserve"> megszüntetését kérheti a bíróságtól.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r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 xml:space="preserve">5:8. § </w:t>
      </w:r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(1) A birtokos egy éven belül a jegyzőtől is kérheti az eredeti birtokállapot helyreállítását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proofErr w:type="gramStart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vagy</w:t>
      </w:r>
      <w:proofErr w:type="gramEnd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 xml:space="preserve"> a zavarás megszüntetését.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(2) A jegyző elrendeli az eredeti birtokállapot helyreállítását és a birtoksértőt a birtoksértő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 xml:space="preserve">magatartástól eltiltja; kivéve, ha nyilvánvaló, hogy az, aki birtokvédelmet kért, nem jogosult </w:t>
      </w:r>
      <w:proofErr w:type="gramStart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a</w:t>
      </w:r>
      <w:proofErr w:type="gramEnd"/>
    </w:p>
    <w:p w:rsid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  <w:proofErr w:type="gramStart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birtoklásra</w:t>
      </w:r>
      <w:proofErr w:type="gramEnd"/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 xml:space="preserve"> vagy birtoklásának megzavarását tűrni volt köteles. A jegyző - kérelemre - jogosult a</w:t>
      </w:r>
      <w:r>
        <w:rPr>
          <w:rFonts w:ascii="Book Antiqua" w:hAnsi="Book Antiqua" w:cs="BookmanOldStyle-Italic"/>
          <w:i/>
          <w:iCs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-Italic"/>
          <w:i/>
          <w:iCs/>
          <w:color w:val="000000"/>
          <w:sz w:val="24"/>
          <w:szCs w:val="24"/>
        </w:rPr>
        <w:t>hasznok, a károk és a költségek kérdésében is határozni.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Italic"/>
          <w:i/>
          <w:iCs/>
          <w:color w:val="000000"/>
          <w:sz w:val="24"/>
          <w:szCs w:val="24"/>
        </w:rPr>
      </w:pPr>
    </w:p>
    <w:p w:rsid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A jegyzői birtokvédelemnek a birtokháborítást követő </w:t>
      </w: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egy éven belül van </w:t>
      </w:r>
      <w:proofErr w:type="gramStart"/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helye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.</w:t>
      </w:r>
      <w:proofErr w:type="gramEnd"/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  <w:r w:rsidRPr="00C95EBC">
        <w:rPr>
          <w:rFonts w:ascii="Book Antiqua" w:hAnsi="Book Antiqua" w:cs="BookmanOldStyle"/>
          <w:color w:val="000000"/>
          <w:sz w:val="24"/>
          <w:szCs w:val="24"/>
        </w:rPr>
        <w:t>A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birtokosnak ebben az eljárásban csak a </w:t>
      </w: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birtoklás tényét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és azt kell igazolnia, hogy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  <w:proofErr w:type="gramStart"/>
      <w:r w:rsidRPr="00C95EBC">
        <w:rPr>
          <w:rFonts w:ascii="Book Antiqua" w:hAnsi="Book Antiqua" w:cs="BookmanOldStyle"/>
          <w:color w:val="000000"/>
          <w:sz w:val="24"/>
          <w:szCs w:val="24"/>
        </w:rPr>
        <w:t>birtoklásában</w:t>
      </w:r>
      <w:proofErr w:type="gramEnd"/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 önhatalommal megzavarták. (A birtokláshoz való jog eldöntése nem tárgya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ennek az eljárásnak.) Ha az ügyben a birtokláshoz való </w:t>
      </w:r>
      <w:proofErr w:type="gramStart"/>
      <w:r w:rsidRPr="00C95EBC">
        <w:rPr>
          <w:rFonts w:ascii="Book Antiqua" w:hAnsi="Book Antiqua" w:cs="BookmanOldStyle"/>
          <w:color w:val="000000"/>
          <w:sz w:val="24"/>
          <w:szCs w:val="24"/>
        </w:rPr>
        <w:t>jog vitás</w:t>
      </w:r>
      <w:proofErr w:type="gramEnd"/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 kizárólag a bíróság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rendelkezik hatáskörrel, de a bírósághoz lehet fordulni akkor is</w:t>
      </w:r>
      <w:r w:rsidR="009660A1">
        <w:rPr>
          <w:rFonts w:ascii="Book Antiqua" w:hAnsi="Book Antiqua" w:cs="BookmanOldStyle"/>
          <w:color w:val="000000"/>
          <w:sz w:val="24"/>
          <w:szCs w:val="24"/>
        </w:rPr>
        <w:t>,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 ha egyébként jegyzői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birtokvédelemnek is helye lenne, tehát az egy éven belüli, tényleges birtokvédelmi helyzeten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alapuló birtokvédelem esetében (a bíróság ebben az esetben is a birtokláshoz való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jogosultság alapján dönt),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ha az ügyben a birtoklás ténye, vagy a birtokláshoz való jog vitás.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  <w:r w:rsidRPr="00C95EBC">
        <w:rPr>
          <w:rFonts w:ascii="Book Antiqua" w:hAnsi="Book Antiqua" w:cs="BookmanOldStyle"/>
          <w:color w:val="000000"/>
          <w:sz w:val="24"/>
          <w:szCs w:val="24"/>
        </w:rPr>
        <w:t>(Ha a birtokháborítás egyetlen cselekményből áll, a határidő a cselekmény befejezésének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napján kezdődik. Amennyiben viszont a birtokháborítás folyamatos cselekvésben nyilvánul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meg, a kezdő időpont a folyamatos magatartás megkezdésével esik egybe.)</w:t>
      </w:r>
    </w:p>
    <w:p w:rsid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  <w:r w:rsidRPr="00C95EBC">
        <w:rPr>
          <w:rFonts w:ascii="Book Antiqua" w:hAnsi="Book Antiqua" w:cs="BookmanOldStyle"/>
          <w:color w:val="000000"/>
          <w:sz w:val="24"/>
          <w:szCs w:val="24"/>
        </w:rPr>
        <w:t>A birtokvita eldöntéséhez szükséges tényállás megállapítása során a jegyző a bizonyítást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kérelemre folytatja le. A birtokvita eldöntéséhez szükséges tényeket annak a félnek kell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bizonyítania, akinek érdekében áll, hogy azokat a jegyző valónak fogadja el. A hatósági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eljárásban olyan bizonyíték használható fel, amely alkalmas a tényállás tisztázásának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megkönnyítésére. Bizonyíték különösen az ügyfél nyilatkozata, az irat, a tanúvallomás, a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szemléről készült jegyzőkönyv, a szakértői vélemény, a hatósági ellenőrzésen készült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jegyzőkönyv (végrehajtási eljárás esetén) és a tárgyi bizonyíték.</w:t>
      </w:r>
    </w:p>
    <w:p w:rsid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  <w:r w:rsidRPr="00C95EBC">
        <w:rPr>
          <w:rFonts w:ascii="Book Antiqua" w:hAnsi="Book Antiqua" w:cs="BookmanOldStyle"/>
          <w:color w:val="000000"/>
          <w:sz w:val="24"/>
          <w:szCs w:val="24"/>
        </w:rPr>
        <w:t>A jegyző a tényállás tisztázásához szükséges bizonyítékokat az eljárási határidő lejártát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megelőző ötödik napig (az ügyintézési határidő </w:t>
      </w:r>
      <w:r w:rsidR="009660A1">
        <w:rPr>
          <w:rFonts w:ascii="Book Antiqua" w:hAnsi="Book Antiqua" w:cs="BookmanOldStyle"/>
          <w:color w:val="000000"/>
          <w:sz w:val="24"/>
          <w:szCs w:val="24"/>
        </w:rPr>
        <w:t>10</w:t>
      </w:r>
      <w:proofErr w:type="gramStart"/>
      <w:r w:rsidR="009660A1">
        <w:rPr>
          <w:rFonts w:ascii="Book Antiqua" w:hAnsi="Book Antiqua" w:cs="BookmanOldStyle"/>
          <w:color w:val="000000"/>
          <w:sz w:val="24"/>
          <w:szCs w:val="24"/>
        </w:rPr>
        <w:t>.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,</w:t>
      </w:r>
      <w:proofErr w:type="gramEnd"/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 tolmács kirendelése esetén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="009660A1">
        <w:rPr>
          <w:rFonts w:ascii="Book Antiqua" w:hAnsi="Book Antiqua" w:cs="BookmanOldStyle"/>
          <w:color w:val="000000"/>
          <w:sz w:val="24"/>
          <w:szCs w:val="24"/>
        </w:rPr>
        <w:t>25.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 napja) fogadja be. Tanúmeghallgatást, helyszíni szemle lefolytatását úgy kell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indítványozni, hogy annak megtartásáról a jegyző úgy tudjon intézkedni, hogy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lastRenderedPageBreak/>
        <w:t>az eljárási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jogcselekményekről készült jegyzőkönyvek a fenti határidőben rendelkezésre álljanak.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  <w:r w:rsidRPr="00C95EBC">
        <w:rPr>
          <w:rFonts w:ascii="Book Antiqua" w:hAnsi="Book Antiqua" w:cs="BookmanOldStyle"/>
          <w:color w:val="000000"/>
          <w:sz w:val="24"/>
          <w:szCs w:val="24"/>
        </w:rPr>
        <w:t>A jegyző azt vizsgálja, hogy milyen volt az eredeti birtokállapot és ezt tilos önhatalommal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megzavarták-e. Ha igen, akkor határozatával </w:t>
      </w: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>az eredeti birtokállapotot helyreállítja,</w:t>
      </w:r>
      <w:r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illetőleg a birtoksértőt e magatartástól eltiltja.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A határozat tartalma a birtokháborító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magatartás jellegétől függ.</w:t>
      </w:r>
    </w:p>
    <w:p w:rsid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Bold"/>
          <w:b/>
          <w:bCs/>
          <w:color w:val="000000"/>
          <w:sz w:val="24"/>
          <w:szCs w:val="24"/>
        </w:rPr>
      </w:pP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Bold"/>
          <w:b/>
          <w:bCs/>
          <w:color w:val="000000"/>
          <w:sz w:val="24"/>
          <w:szCs w:val="24"/>
        </w:rPr>
      </w:pP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>A jegyzőnek a birtoklás kérdésében hozott határozatát annak meghozatalától</w:t>
      </w: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Bold"/>
          <w:b/>
          <w:bCs/>
          <w:color w:val="000000"/>
          <w:sz w:val="24"/>
          <w:szCs w:val="24"/>
        </w:rPr>
      </w:pPr>
      <w:proofErr w:type="gramStart"/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>számított</w:t>
      </w:r>
      <w:proofErr w:type="gramEnd"/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 legkésőbb három napon belül végre kell hajtani akkor is, ha az érdekelt fél</w:t>
      </w:r>
      <w:r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>keresetben kérte annak megváltoztatását a bíróságtól.</w:t>
      </w:r>
    </w:p>
    <w:p w:rsid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-Bold"/>
          <w:b/>
          <w:bCs/>
          <w:color w:val="000000"/>
          <w:sz w:val="24"/>
          <w:szCs w:val="24"/>
        </w:rPr>
      </w:pP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A birtokvédelmi eljárást a 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Kenyeri Közös Önkormányzati Hivatal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Jegyzőjének címzett,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de a Kenyeri Közös Önkormányzati Hivatalhoz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(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9514 Kenyeri, Ady u. 72.) </w:t>
      </w: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benyújtott kifejezett </w:t>
      </w:r>
      <w:r>
        <w:rPr>
          <w:rFonts w:ascii="Book Antiqua" w:hAnsi="Book Antiqua" w:cs="BookmanOldStyle-Bold"/>
          <w:b/>
          <w:bCs/>
          <w:color w:val="000000"/>
          <w:sz w:val="24"/>
          <w:szCs w:val="24"/>
        </w:rPr>
        <w:t>erre irányuló</w:t>
      </w:r>
      <w:r w:rsidR="009660A1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 </w:t>
      </w:r>
      <w:r w:rsidR="009660A1"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 xml:space="preserve">írásbeli kérelemmel </w:t>
      </w:r>
      <w:r w:rsidR="009660A1"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>lehet kezdeményezni</w:t>
      </w:r>
      <w:r w:rsidR="009660A1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. A </w:t>
      </w:r>
      <w:proofErr w:type="gramStart"/>
      <w:r w:rsidR="009660A1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kérelmet </w:t>
      </w:r>
      <w:r w:rsidR="009660A1"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>3</w:t>
      </w:r>
      <w:proofErr w:type="gramEnd"/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.000.- Ft, azaz </w:t>
      </w:r>
      <w:r>
        <w:rPr>
          <w:rFonts w:ascii="Book Antiqua" w:hAnsi="Book Antiqua" w:cs="BookmanOldStyle-Bold"/>
          <w:b/>
          <w:bCs/>
          <w:color w:val="000000"/>
          <w:sz w:val="24"/>
          <w:szCs w:val="24"/>
        </w:rPr>
        <w:t>h</w:t>
      </w: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 xml:space="preserve">áromezer forint eljárási </w:t>
      </w:r>
      <w:r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>illetékkel</w:t>
      </w:r>
      <w:r w:rsidR="009660A1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 xml:space="preserve"> kell</w:t>
      </w:r>
      <w:r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>ellát</w:t>
      </w:r>
      <w:r w:rsidR="009660A1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>ni</w:t>
      </w:r>
      <w:r w:rsidRPr="00C95EBC">
        <w:rPr>
          <w:rFonts w:ascii="Book Antiqua" w:hAnsi="Book Antiqua" w:cs="BookmanOldStyle-Bold"/>
          <w:b/>
          <w:bCs/>
          <w:color w:val="000000"/>
          <w:sz w:val="24"/>
          <w:szCs w:val="24"/>
        </w:rPr>
        <w:t>.</w:t>
      </w:r>
    </w:p>
    <w:p w:rsid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</w:p>
    <w:p w:rsidR="00C95EBC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  <w:r w:rsidRPr="00C95EBC">
        <w:rPr>
          <w:rFonts w:ascii="Book Antiqua" w:hAnsi="Book Antiqua" w:cs="BookmanOldStyle"/>
          <w:color w:val="000000"/>
          <w:sz w:val="24"/>
          <w:szCs w:val="24"/>
        </w:rPr>
        <w:t xml:space="preserve">Az eljárás </w:t>
      </w:r>
      <w:r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>csak konkrétan (névvel, lakcímmel és székhellyel) megnevezett természetes</w:t>
      </w:r>
      <w:r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-BoldItalic"/>
          <w:b/>
          <w:bCs/>
          <w:i/>
          <w:iCs/>
          <w:color w:val="000000"/>
          <w:sz w:val="24"/>
          <w:szCs w:val="24"/>
        </w:rPr>
        <w:t>és jogi személy ellen indítható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, mivel csak konkrét és valós adatokkal megjelölt személy</w:t>
      </w:r>
      <w:r>
        <w:rPr>
          <w:rFonts w:ascii="Book Antiqua" w:hAnsi="Book Antiqua" w:cs="BookmanOldStyle"/>
          <w:color w:val="000000"/>
          <w:sz w:val="24"/>
          <w:szCs w:val="24"/>
        </w:rPr>
        <w:t xml:space="preserve"> </w:t>
      </w:r>
      <w:r w:rsidRPr="00C95EBC">
        <w:rPr>
          <w:rFonts w:ascii="Book Antiqua" w:hAnsi="Book Antiqua" w:cs="BookmanOldStyle"/>
          <w:color w:val="000000"/>
          <w:sz w:val="24"/>
          <w:szCs w:val="24"/>
        </w:rPr>
        <w:t>kötelezhető a birtokháborítás megszüntetésére vagy az eredeti állapot helyreállítására.</w:t>
      </w:r>
    </w:p>
    <w:p w:rsid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manOldStyle"/>
          <w:color w:val="000000"/>
          <w:sz w:val="24"/>
          <w:szCs w:val="24"/>
        </w:rPr>
      </w:pPr>
    </w:p>
    <w:p w:rsidR="0032288F" w:rsidRPr="00C95EBC" w:rsidRDefault="00C95EBC" w:rsidP="00C95EB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C95EBC">
        <w:rPr>
          <w:rFonts w:ascii="Book Antiqua" w:hAnsi="Book Antiqua" w:cs="BookmanOldStyle"/>
          <w:b/>
          <w:color w:val="000000"/>
          <w:sz w:val="24"/>
          <w:szCs w:val="24"/>
          <w:u w:val="single"/>
        </w:rPr>
        <w:t xml:space="preserve">Tekintettel a fentebb kifejtettekre, névtelen bejelentés esetén vagy ismeretlen személy ellen benyújtott kérelmek esetén jelen eljárás keretein belül nincs lehetőség érdemi </w:t>
      </w:r>
      <w:r w:rsidR="009660A1">
        <w:rPr>
          <w:rFonts w:ascii="Book Antiqua" w:hAnsi="Book Antiqua" w:cs="BookmanOldStyle"/>
          <w:b/>
          <w:color w:val="000000"/>
          <w:sz w:val="24"/>
          <w:szCs w:val="24"/>
          <w:u w:val="single"/>
        </w:rPr>
        <w:t xml:space="preserve">eljárás lefolytatására, illetve érdemi </w:t>
      </w:r>
      <w:bookmarkStart w:id="0" w:name="_GoBack"/>
      <w:bookmarkEnd w:id="0"/>
      <w:r w:rsidRPr="00C95EBC">
        <w:rPr>
          <w:rFonts w:ascii="Book Antiqua" w:hAnsi="Book Antiqua" w:cs="BookmanOldStyle"/>
          <w:b/>
          <w:color w:val="000000"/>
          <w:sz w:val="24"/>
          <w:szCs w:val="24"/>
          <w:u w:val="single"/>
        </w:rPr>
        <w:t>döntés meghozatalára.</w:t>
      </w:r>
    </w:p>
    <w:sectPr w:rsidR="0032288F" w:rsidRPr="00C95EBC" w:rsidSect="00AF30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C"/>
    <w:rsid w:val="0032288F"/>
    <w:rsid w:val="009660A1"/>
    <w:rsid w:val="00AF3070"/>
    <w:rsid w:val="00C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08ED-00C6-4B75-8AFC-ED48A5FE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Kenyeri Közös Önkormányzati Hivatal</dc:creator>
  <cp:keywords/>
  <dc:description/>
  <cp:lastModifiedBy>Vörös Andrea</cp:lastModifiedBy>
  <cp:revision>3</cp:revision>
  <dcterms:created xsi:type="dcterms:W3CDTF">2015-08-25T19:33:00Z</dcterms:created>
  <dcterms:modified xsi:type="dcterms:W3CDTF">2015-08-25T19:33:00Z</dcterms:modified>
</cp:coreProperties>
</file>